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8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93F53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580"/>
          <w:cols w:num="2" w:equalWidth="0">
            <w:col w:w="5061" w:space="521"/>
            <w:col w:w="6078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4" name="图像1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15" name="图像1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>
                      <a:hlinkClick r:id="rId5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6" name="组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组16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7" name="图17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8815" y="463410"/>
                            <a:ext cx="3273018" cy="2293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21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6"/>
                              </w:pPr>
                              <w:r>
                                <w:t>TCTemp1000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488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基于热电偶的</w:t>
                              </w:r>
                              <w:r>
                                <w:rPr>
                                  <w:spacing w:val="-4"/>
                                </w:rPr>
                                <w:t>温度</w:t>
                              </w:r>
                              <w:r>
                                <w:rPr>
                                  <w:spacing w:val="-4"/>
                                </w:rPr>
                                <w:t>数据</w:t>
                              </w:r>
                              <w:r>
                                <w:rPr>
                                  <w:spacing w:val="-4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BodyText8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>
                          <a:hlinkClick r:id="rId5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>
                            <a:hlinkClick r:id="rId5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>
                          <a:hlinkClick r:id="rId5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>
                            <a:hlinkClick r:id="rId5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>
                          <a:hlinkClick r:id="rId5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>
                            <a:hlinkClick r:id="rId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>
                            <a:hlinkClick r:id="rId5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>
                          <a:hlinkClick r:id="rId5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>
                          <a:hlinkClick r:id="rId5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8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460" w:bottom="520" w:left="0" w:right="580"/>
          <w:pgNumType w:start="2"/>
        </w:sectPr>
      </w:pPr>
    </w:p>
    <w:p>
      <w:pPr>
        <w:pStyle w:val="P68B1DB1-Heading19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/>
      </w:pPr>
      <w:r>
        <w:t>TCTemp1000是一款坚固耐用、可潜水、电池供电、基于热电偶的温度数据记录仪。这是一个独立的，紧凑的便携式，易于使用</w:t>
      </w:r>
      <w:r>
        <w:rPr>
          <w:spacing w:val="-2"/>
        </w:rPr>
        <w:t>的设备</w:t>
      </w:r>
      <w:r>
        <w:rPr>
          <w:spacing w:val="-2"/>
        </w:rPr>
        <w:t>，</w:t>
      </w:r>
      <w:r>
        <w:rPr>
          <w:spacing w:val="-2"/>
        </w:rPr>
        <w:t>测量</w:t>
      </w:r>
      <w:r>
        <w:rPr>
          <w:spacing w:val="-2"/>
        </w:rPr>
        <w:t>和</w:t>
      </w:r>
      <w:r>
        <w:rPr>
          <w:spacing w:val="-2"/>
        </w:rPr>
        <w:t>记录</w:t>
      </w:r>
      <w:r>
        <w:rPr>
          <w:spacing w:val="-2"/>
        </w:rPr>
        <w:t>多达</w:t>
      </w:r>
      <w:r>
        <w:rPr>
          <w:spacing w:val="-2"/>
        </w:rPr>
        <w:t>16,383</w:t>
      </w:r>
      <w:r>
        <w:rPr>
          <w:spacing w:val="-2"/>
        </w:rPr>
        <w:t>测量</w:t>
      </w:r>
      <w:r>
        <w:t>每个通道。</w:t>
      </w:r>
      <w:r>
        <w:t>存储介质是非易失性固态存储器，即使电池放电，也能提供最大的数据安全性。</w:t>
      </w:r>
    </w:p>
    <w:p>
      <w:pPr>
        <w:pStyle w:val="P68B1DB1-Heading210"/>
        <w:spacing w:before="259"/>
      </w:pPr>
      <w:r>
        <w:rPr>
          <w:spacing w:val="-2"/>
          <w:w w:val="95"/>
        </w:rPr>
        <w:t>耐</w:t>
      </w:r>
      <w:r>
        <w:rPr>
          <w:w w:val="90"/>
        </w:rPr>
        <w:t>水性</w:t>
      </w:r>
    </w:p>
    <w:p>
      <w:pPr>
        <w:pStyle w:val="BodyText"/>
        <w:spacing w:line="249" w:lineRule="auto" w:before="107"/>
        <w:ind w:left="720" w:right="123"/>
        <w:jc w:val="both"/>
      </w:pPr>
      <w:r>
        <w:t>TCTemp1000是完全潜水的，防护等级为IP68。</w:t>
      </w:r>
      <w:r>
        <w:t xml:space="preserve">它可以放置在水深达140英尺（42 m）的环境</w:t>
      </w:r>
    </w:p>
    <w:p>
      <w:pPr>
        <w:pStyle w:val="P68B1DB1-Heading19"/>
        <w:spacing w:before="267"/>
        <w:jc w:val="both"/>
      </w:pPr>
      <w:r>
        <w:t>安装</w:t>
      </w:r>
      <w:r>
        <w:rPr>
          <w:spacing w:val="-2"/>
        </w:rPr>
        <w:t>指南</w:t>
      </w:r>
    </w:p>
    <w:p>
      <w:pPr>
        <w:pStyle w:val="P68B1DB1-Heading210"/>
        <w:spacing w:before="239"/>
      </w:pPr>
      <w:r>
        <w:rPr>
          <w:spacing w:val="-4"/>
        </w:rPr>
        <w:t>安装软件</w:t>
      </w:r>
    </w:p>
    <w:p>
      <w:pPr>
        <w:pStyle w:val="BodyText"/>
        <w:spacing w:line="249" w:lineRule="auto" w:before="107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rFonts w:ascii="Trebuchet MS"/>
            <w:b/>
            <w:color w:val="A93F53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0"/>
        <w:spacing w:before="256"/>
      </w:pPr>
      <w:r>
        <w:rPr>
          <w:spacing w:val="-6"/>
        </w:rPr>
        <w:t>安装接口电缆</w:t>
      </w:r>
    </w:p>
    <w:p>
      <w:pPr>
        <w:pStyle w:val="BodyText"/>
        <w:spacing w:line="249" w:lineRule="auto" w:before="107"/>
        <w:ind w:left="720" w:right="8"/>
        <w:jc w:val="both"/>
      </w:pPr>
      <w:r>
        <w:rPr>
          <w:color w:val="A93F53"/>
        </w:rPr>
        <w:t xml:space="preserve">IFC 200（单独销售）</w:t>
      </w:r>
      <w:r>
        <w:t xml:space="preserve">- 使用接口电缆将设备连接到USB端口，</w:t>
      </w:r>
    </w:p>
    <w:p>
      <w:pPr>
        <w:pStyle w:val="BodyText"/>
        <w:spacing w:before="77"/>
      </w:pPr>
    </w:p>
    <w:p>
      <w:pPr>
        <w:pStyle w:val="P68B1DB1-Heading210"/>
      </w:pPr>
      <w:r>
        <w:rPr>
          <w:spacing w:val="-7"/>
        </w:rP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07" w:after="0"/>
        <w:ind w:left="899" w:right="0" w:hanging="179"/>
        <w:jc w:val="left"/>
        <w:rPr>
          <w:sz w:val="22"/>
        </w:rPr>
      </w:pPr>
      <w:r>
        <w:rPr>
          <w:w w:val="90"/>
        </w:rPr>
        <w:t>901620-00-</w:t>
      </w:r>
      <w:r>
        <w:rPr>
          <w:spacing w:val="-2"/>
          <w:w w:val="90"/>
        </w:rPr>
        <w:t>TCTemp1000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900298-00-</w:t>
      </w:r>
      <w:r>
        <w:rPr>
          <w:spacing w:val="-2"/>
          <w:w w:val="90"/>
        </w:rPr>
        <w:t xml:space="preserve">IFC 200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901747-00 - TLH-5902更换电池</w:t>
      </w:r>
    </w:p>
    <w:p>
      <w:pPr>
        <w:pStyle w:val="Heading1"/>
        <w:ind w:left="458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>
      <w:pPr>
        <w:pStyle w:val="P68B1DB1-Heading210"/>
        <w:spacing w:before="239"/>
        <w:ind w:left="458"/>
      </w:pPr>
      <w:r>
        <w:rPr>
          <w:spacing w:val="-4"/>
        </w:rPr>
        <w:t>连接并启动数据记录器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9" w:lineRule="auto" w:before="107" w:after="0"/>
        <w:ind w:left="746" w:right="48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9" w:lineRule="auto" w:before="91" w:after="0"/>
        <w:ind w:left="746" w:right="57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92" w:after="0"/>
        <w:ind w:left="745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2"/>
        <w:ind w:left="746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9" w:lineRule="auto" w:before="101" w:after="0"/>
        <w:ind w:left="746" w:right="4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46" w:right="36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94" w:after="0"/>
        <w:ind w:left="745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46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49" w:lineRule="auto" w:before="101" w:after="0"/>
        <w:ind w:left="746" w:right="50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9"/>
        <w:ind w:left="458" w:right="341" w:firstLine="0"/>
        <w:jc w:val="left"/>
        <w:rPr>
          <w:i/>
          <w:sz w:val="18"/>
        </w:rPr>
        <w:pStyle w:val="P68B1DB1-Normal11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pStyle w:val="BodyText"/>
        <w:spacing w:before="38"/>
        <w:rPr>
          <w:i/>
          <w:sz w:val="18"/>
        </w:rPr>
      </w:pPr>
    </w:p>
    <w:p>
      <w:pPr>
        <w:pStyle w:val="P68B1DB1-Heading210"/>
        <w:ind w:left="458"/>
      </w:pPr>
      <w:r>
        <w:rPr>
          <w:spacing w:val="-4"/>
        </w:rPr>
        <w:t>从数据记录器下载数据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9" w:lineRule="auto" w:before="107" w:after="0"/>
        <w:ind w:left="746" w:right="65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92" w:after="0"/>
        <w:ind w:left="745" w:right="0" w:hanging="287"/>
        <w:jc w:val="left"/>
        <w:rPr>
          <w:b/>
          <w:sz w:val="22"/>
        </w:rPr>
      </w:pPr>
      <w:r>
        <w:rPr>
          <w:spacing w:val="-2"/>
        </w:rPr>
        <w:t>突出显示</w:t>
      </w:r>
      <w:r>
        <w:rPr>
          <w:rFonts w:ascii="Trebuchet MS"/>
          <w:b/>
          <w:spacing w:val="-2"/>
        </w:rPr>
        <w:t>连接</w:t>
      </w:r>
      <w:r>
        <w:rPr>
          <w:rFonts w:ascii="Trebuchet MS"/>
          <w:b/>
          <w:spacing w:val="-2"/>
        </w:rPr>
        <w:t>设备</w:t>
      </w:r>
      <w:r>
        <w:rPr>
          <w:spacing w:val="-2"/>
        </w:rPr>
        <w:t>中的数据记录器</w:t>
      </w:r>
    </w:p>
    <w:p>
      <w:pPr>
        <w:pStyle w:val="BodyText"/>
        <w:spacing w:before="11"/>
        <w:ind w:left="746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9" w:lineRule="auto" w:before="102" w:after="0"/>
        <w:ind w:left="746" w:right="80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9" w:lineRule="auto" w:before="91" w:after="0"/>
        <w:ind w:left="746" w:right="544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580"/>
          <w:cols w:num="2" w:equalWidth="0">
            <w:col w:w="5847" w:space="40"/>
            <w:col w:w="5773"/>
          </w:cols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80"/>
        </w:sectPr>
      </w:pPr>
    </w:p>
    <w:p>
      <w:pPr>
        <w:pStyle w:val="P68B1DB1-Heading112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210"/>
        <w:spacing w:before="239"/>
      </w:pPr>
      <w:r>
        <w:rPr>
          <w:spacing w:val="2"/>
          <w:w w:val="90"/>
        </w:rPr>
        <w:t>热电偶</w:t>
      </w:r>
      <w:r>
        <w:rPr>
          <w:spacing w:val="-4"/>
        </w:rPr>
        <w:t>类型</w:t>
      </w:r>
    </w:p>
    <w:p>
      <w:pPr>
        <w:pStyle w:val="BodyText"/>
        <w:spacing w:line="249" w:lineRule="auto" w:before="107"/>
        <w:ind w:left="720"/>
      </w:pPr>
      <w:r>
        <w:rPr>
          <w:spacing w:val="-2"/>
        </w:rPr>
        <w:t>要在MadgeTech软件中更改热电偶类型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91" w:after="0"/>
        <w:ind w:left="989" w:right="0" w:hanging="269"/>
        <w:jc w:val="left"/>
        <w:rPr>
          <w:sz w:val="22"/>
        </w:rPr>
      </w:pPr>
      <w:r>
        <w:t>选择</w:t>
      </w:r>
      <w:r>
        <w:rPr>
          <w:b/>
        </w:rPr>
        <w:t>设备菜单</w:t>
      </w:r>
      <w:r>
        <w:t>，然后选择</w:t>
      </w:r>
      <w:r>
        <w:rPr>
          <w:b/>
        </w:rPr>
        <w:t>识别设备</w:t>
      </w:r>
      <w:r>
        <w:rPr>
          <w:spacing w:val="-5"/>
        </w:rPr>
        <w:t>，</w:t>
      </w:r>
    </w:p>
    <w:p>
      <w:pPr>
        <w:spacing w:before="12"/>
        <w:ind w:left="989" w:right="0" w:firstLine="0"/>
        <w:jc w:val="left"/>
        <w:rPr>
          <w:sz w:val="22"/>
        </w:rPr>
      </w:pPr>
      <w:r>
        <w:rPr>
          <w:b/>
        </w:rPr>
        <w:t>读取</w:t>
      </w:r>
      <w:r>
        <w:rPr>
          <w:b/>
          <w:spacing w:val="-2"/>
        </w:rPr>
        <w:t>状态</w:t>
      </w:r>
      <w:r>
        <w:rPr>
          <w:spacing w:val="-2"/>
        </w:rPr>
        <w:t>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101" w:after="0"/>
        <w:ind w:left="989" w:right="0" w:hanging="269"/>
        <w:jc w:val="left"/>
        <w:rPr>
          <w:sz w:val="22"/>
        </w:rPr>
      </w:pPr>
      <w:r>
        <w:rPr>
          <w:spacing w:val="-2"/>
        </w:rPr>
        <w:t>选择</w:t>
      </w:r>
      <w:r>
        <w:rPr>
          <w:b/>
          <w:spacing w:val="-2"/>
        </w:rPr>
        <w:t>设备</w:t>
      </w:r>
      <w:r>
        <w:rPr>
          <w:b/>
          <w:spacing w:val="-2"/>
        </w:rPr>
        <w:t>详细信息</w:t>
      </w:r>
      <w:r>
        <w:rPr>
          <w:spacing w:val="-2"/>
        </w:rPr>
        <w:t>选项卡，</w:t>
      </w:r>
      <w:r>
        <w:rPr>
          <w:spacing w:val="-2"/>
        </w:rPr>
        <w:t>然后选择</w:t>
      </w:r>
      <w:r>
        <w:rPr>
          <w:b/>
          <w:spacing w:val="-2"/>
        </w:rPr>
        <w:t>热电偶</w:t>
      </w:r>
      <w:r>
        <w:rPr>
          <w:b/>
          <w:spacing w:val="-4"/>
        </w:rPr>
        <w:t>类型</w:t>
      </w:r>
      <w:r>
        <w:rPr>
          <w:spacing w:val="-4"/>
        </w:rPr>
        <w:t>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02" w:after="0"/>
        <w:ind w:left="989" w:right="23" w:hanging="270"/>
        <w:jc w:val="left"/>
        <w:rPr>
          <w:sz w:val="22"/>
        </w:rPr>
      </w:pPr>
      <w:r>
        <w:t>点击</w:t>
      </w:r>
      <w:r>
        <w:t>热电偶</w:t>
      </w:r>
      <w:r>
        <w:t>类型</w:t>
      </w:r>
      <w:r>
        <w:rPr>
          <w:spacing w:val="-2"/>
        </w:rPr>
        <w:t>窗口中的更改按钮。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1" w:after="0"/>
        <w:ind w:left="989" w:right="277" w:hanging="270"/>
        <w:jc w:val="left"/>
        <w:rPr>
          <w:sz w:val="22"/>
        </w:rPr>
      </w:pPr>
      <w:r>
        <w:rPr>
          <w:spacing w:val="-2"/>
        </w:rPr>
        <w:t>从</w:t>
      </w:r>
      <w:r>
        <w:t>下拉列表中</w:t>
      </w:r>
      <w:r>
        <w:rPr>
          <w:spacing w:val="-2"/>
        </w:rPr>
        <w:t>选择</w:t>
      </w:r>
      <w:r>
        <w:rPr>
          <w:spacing w:val="-2"/>
        </w:rPr>
        <w:t>正确</w:t>
      </w:r>
      <w:r>
        <w:rPr>
          <w:spacing w:val="-2"/>
        </w:rPr>
        <w:t>的</w:t>
      </w:r>
      <w:r>
        <w:rPr>
          <w:spacing w:val="-2"/>
        </w:rPr>
        <w:t>热电偶</w:t>
      </w:r>
      <w:r>
        <w:rPr>
          <w:spacing w:val="-2"/>
        </w:rPr>
        <w:t>类型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2" w:after="0"/>
        <w:ind w:left="989" w:right="288" w:hanging="270"/>
        <w:jc w:val="left"/>
        <w:rPr>
          <w:sz w:val="22"/>
        </w:rPr>
      </w:pPr>
      <w:r>
        <w:t>点击</w:t>
      </w:r>
      <w:r>
        <w:rPr>
          <w:b/>
        </w:rPr>
        <w:t>Save（保存</w:t>
      </w:r>
      <w:r>
        <w:t>）按钮，将热电偶类型保存在设备中，然后点击</w:t>
      </w:r>
      <w:r>
        <w:rPr>
          <w:b/>
        </w:rPr>
        <w:t>OK（</w:t>
      </w:r>
      <w:r>
        <w:t>确定）。</w:t>
      </w:r>
    </w:p>
    <w:p>
      <w:pPr>
        <w:pStyle w:val="P68B1DB1-Heading210"/>
        <w:spacing w:before="255"/>
      </w:pPr>
      <w:r>
        <w:rPr>
          <w:spacing w:val="-4"/>
        </w:rPr>
        <w:t>更换热电偶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0" w:lineRule="auto" w:before="107" w:after="0"/>
        <w:ind w:left="989" w:right="0" w:hanging="269"/>
        <w:jc w:val="left"/>
        <w:rPr>
          <w:sz w:val="22"/>
        </w:rPr>
      </w:pPr>
      <w:r>
        <w:rPr>
          <w:spacing w:val="-4"/>
        </w:rPr>
        <w:t>松开电缆压盖上的圆顶螺母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0" w:lineRule="auto" w:before="102" w:after="0"/>
        <w:ind w:left="989" w:right="0" w:hanging="269"/>
        <w:jc w:val="left"/>
        <w:rPr>
          <w:sz w:val="22"/>
        </w:rPr>
      </w:pPr>
      <w:r>
        <w:rPr>
          <w:spacing w:val="-4"/>
        </w:rPr>
        <w:t>拧下大直径端盖。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9" w:lineRule="auto" w:before="101" w:after="0"/>
        <w:ind w:left="989" w:right="105" w:hanging="270"/>
        <w:jc w:val="left"/>
        <w:rPr>
          <w:sz w:val="22"/>
        </w:rPr>
      </w:pPr>
      <w:r>
        <w:rPr>
          <w:spacing w:val="-2"/>
        </w:rPr>
        <w:t>拔下热电偶插头并将其穿过电缆密封套。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9" w:lineRule="auto" w:before="92" w:after="0"/>
        <w:ind w:left="989" w:right="0" w:hanging="270"/>
        <w:jc w:val="left"/>
        <w:rPr>
          <w:sz w:val="22"/>
        </w:rPr>
      </w:pPr>
      <w:r>
        <w:rPr>
          <w:spacing w:val="-2"/>
        </w:rPr>
        <w:t>插入</w:t>
      </w:r>
      <w:r>
        <w:rPr>
          <w:spacing w:val="-2"/>
        </w:rPr>
        <w:t>新</w:t>
      </w:r>
      <w:r>
        <w:rPr>
          <w:spacing w:val="-2"/>
        </w:rPr>
        <w:t>的</w:t>
      </w:r>
      <w:r>
        <w:rPr>
          <w:spacing w:val="-2"/>
        </w:rPr>
        <w:t>热电偶</w:t>
      </w:r>
      <w:r>
        <w:rPr>
          <w:spacing w:val="-2"/>
        </w:rPr>
        <w:t>并</w:t>
      </w:r>
      <w:r>
        <w:rPr>
          <w:spacing w:val="-2"/>
        </w:rPr>
        <w:t>将</w:t>
      </w:r>
      <w:r>
        <w:rPr>
          <w:spacing w:val="-2"/>
        </w:rPr>
        <w:t>盖</w:t>
      </w:r>
      <w:r>
        <w:rPr>
          <w:spacing w:val="-2"/>
        </w:rPr>
        <w:t>拧</w:t>
      </w:r>
      <w:r>
        <w:rPr>
          <w:spacing w:val="-2"/>
        </w:rPr>
        <w:t>回</w:t>
      </w:r>
      <w:r>
        <w:t>设备上。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9" w:lineRule="auto" w:before="91" w:after="0"/>
        <w:ind w:left="989" w:right="128" w:hanging="270"/>
        <w:jc w:val="left"/>
        <w:rPr>
          <w:sz w:val="22"/>
        </w:rPr>
      </w:pPr>
      <w:r>
        <w:rPr>
          <w:spacing w:val="-2"/>
        </w:rPr>
        <w:t>拧紧</w:t>
      </w:r>
      <w:r>
        <w:rPr>
          <w:spacing w:val="-2"/>
        </w:rPr>
        <w:t>电缆</w:t>
      </w:r>
      <w:r>
        <w:rPr>
          <w:spacing w:val="-2"/>
        </w:rPr>
        <w:t>密封套</w:t>
      </w:r>
      <w:r>
        <w:rPr>
          <w:spacing w:val="-2"/>
        </w:rPr>
        <w:t>上</w:t>
      </w:r>
      <w:r>
        <w:rPr>
          <w:spacing w:val="-2"/>
        </w:rPr>
        <w:t>的</w:t>
      </w:r>
      <w:r>
        <w:rPr>
          <w:spacing w:val="-2"/>
        </w:rPr>
        <w:t>圆顶</w:t>
      </w:r>
      <w:r>
        <w:rPr>
          <w:spacing w:val="-2"/>
        </w:rPr>
        <w:t>螺母</w:t>
      </w:r>
      <w:r>
        <w:rPr>
          <w:spacing w:val="-2"/>
        </w:rPr>
        <w:t>，</w:t>
      </w:r>
      <w:r>
        <w:rPr>
          <w:spacing w:val="-2"/>
        </w:rPr>
        <w:t>确保</w:t>
      </w:r>
      <w:r>
        <w:t>器械牢固。</w:t>
      </w:r>
    </w:p>
    <w:p>
      <w:pPr>
        <w:pStyle w:val="Heading1"/>
        <w:ind w:left="477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维护</w:t>
      </w:r>
    </w:p>
    <w:p>
      <w:pPr>
        <w:pStyle w:val="P68B1DB1-Heading210"/>
        <w:spacing w:before="239"/>
        <w:ind w:left="477"/>
      </w:pPr>
      <w:r>
        <w:rPr>
          <w:spacing w:val="-7"/>
        </w:rPr>
        <w:t>O形</w:t>
      </w:r>
      <w:r>
        <w:rPr>
          <w:spacing w:val="-4"/>
        </w:rPr>
        <w:t>环</w:t>
      </w:r>
    </w:p>
    <w:p>
      <w:pPr>
        <w:pStyle w:val="BodyText"/>
        <w:spacing w:line="249" w:lineRule="auto" w:before="107"/>
        <w:ind w:left="477" w:right="384"/>
      </w:pPr>
      <w:r>
        <w:t>O形圈的维护是正确保养TCTemp1000的关键因素</w:t>
      </w:r>
      <w:r>
        <w:rPr>
          <w:spacing w:val="-2"/>
        </w:rPr>
        <w:t>。</w:t>
      </w:r>
      <w:r>
        <w:rPr>
          <w:spacing w:val="-2"/>
        </w:rPr>
        <w:t>O形环</w:t>
      </w:r>
      <w:r>
        <w:rPr>
          <w:spacing w:val="-2"/>
        </w:rPr>
        <w:t>确保</w:t>
      </w:r>
      <w:r>
        <w:rPr>
          <w:spacing w:val="-2"/>
        </w:rPr>
        <w:t>紧密密封</w:t>
      </w:r>
      <w:r>
        <w:rPr>
          <w:spacing w:val="-5"/>
        </w:rPr>
        <w:t>，</w:t>
      </w:r>
      <w:r>
        <w:rPr>
          <w:spacing w:val="-2"/>
        </w:rPr>
        <w:t>并</w:t>
      </w:r>
      <w:r>
        <w:rPr>
          <w:spacing w:val="-2"/>
        </w:rPr>
        <w:t>防止</w:t>
      </w:r>
      <w:r>
        <w:rPr>
          <w:spacing w:val="-2"/>
        </w:rPr>
        <w:t>液体</w:t>
      </w:r>
      <w:r>
        <w:rPr>
          <w:spacing w:val="-2"/>
        </w:rPr>
        <w:t>进入</w:t>
      </w:r>
    </w:p>
    <w:p>
      <w:pPr>
        <w:spacing w:line="249" w:lineRule="auto" w:before="2"/>
        <w:ind w:left="477" w:right="0" w:firstLine="0"/>
        <w:jc w:val="left"/>
        <w:rPr>
          <w:sz w:val="22"/>
        </w:rPr>
      </w:pPr>
      <w:r>
        <w:t xml:space="preserve">设备. </w:t>
      </w:r>
      <w:r>
        <w:t>有关如何防止O形环故障的信息，请参阅应用笔记O形环101：保护您的数据，可在</w:t>
      </w:r>
      <w:hyperlink r:id="rId5">
        <w:r>
          <w:rPr>
            <w:rFonts w:ascii="Trebuchet MS"/>
            <w:b/>
            <w:color w:val="A93F53"/>
          </w:rPr>
          <w:t>madgetech.com</w:t>
        </w:r>
      </w:hyperlink>
    </w:p>
    <w:p>
      <w:pPr>
        <w:pStyle w:val="BodyText"/>
        <w:spacing w:before="78"/>
      </w:pPr>
    </w:p>
    <w:p>
      <w:pPr>
        <w:pStyle w:val="P68B1DB1-Heading210"/>
        <w:ind w:left="477"/>
      </w:pPr>
      <w:r>
        <w:rPr>
          <w:spacing w:val="-6"/>
        </w:rPr>
        <w:t>电池</w:t>
      </w:r>
      <w:r>
        <w:rPr>
          <w:spacing w:val="-2"/>
        </w:rPr>
        <w:t>更换</w:t>
      </w:r>
    </w:p>
    <w:p>
      <w:pPr>
        <w:pStyle w:val="P68B1DB1-BodyText13"/>
        <w:spacing w:before="107"/>
        <w:ind w:left="477"/>
      </w:pPr>
      <w:r>
        <w:rPr>
          <w:b/>
        </w:rPr>
        <w:t>材料：</w:t>
      </w:r>
      <w:r>
        <w:t>小尖嘴钳和TLH-5902</w:t>
      </w:r>
      <w:r>
        <w:rPr>
          <w:spacing w:val="-2"/>
        </w:rPr>
        <w:t>电池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101" w:after="0"/>
        <w:ind w:left="747" w:right="641" w:hanging="270"/>
        <w:jc w:val="left"/>
        <w:rPr>
          <w:sz w:val="22"/>
        </w:rPr>
      </w:pPr>
      <w:r>
        <w:t>小心地拧下传感器端盖并拉出电子元件。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92" w:after="0"/>
        <w:ind w:left="747" w:right="291" w:hanging="270"/>
        <w:jc w:val="left"/>
        <w:rPr>
          <w:sz w:val="22"/>
        </w:rPr>
      </w:pPr>
      <w:r>
        <w:t>电池是电路板上的紫色圆柱体</w:t>
      </w:r>
      <w:r>
        <w:t>轻轻拔出旧电池。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91" w:after="0"/>
        <w:ind w:left="747" w:right="137" w:hanging="270"/>
        <w:jc w:val="left"/>
        <w:rPr>
          <w:i/>
          <w:sz w:val="22"/>
        </w:rPr>
      </w:pPr>
      <w:r>
        <w:t>每次插入一根新电池导线，使用钳子将导线完全推入插座。</w:t>
      </w:r>
      <w:r>
        <w:rPr>
          <w:i/>
        </w:rPr>
        <w:t>注意：电池应平放在电路板上，正极引线应最靠近通信插孔。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94" w:after="0"/>
        <w:ind w:left="747" w:right="194" w:hanging="270"/>
        <w:jc w:val="left"/>
        <w:rPr>
          <w:sz w:val="22"/>
        </w:rPr>
      </w:pPr>
      <w:r>
        <w:t>确保电路板插入白色塑料套管。传感器电缆不得扭曲或扭结。从连接到电路板，它应该向上运行到电池，然后向下运行到传感器。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93" w:after="0"/>
        <w:ind w:left="747" w:right="352" w:hanging="270"/>
        <w:jc w:val="left"/>
        <w:rPr>
          <w:sz w:val="22"/>
        </w:rPr>
      </w:pPr>
      <w:r>
        <w:t>将电子元件插回管中，并小心地拧上盖子。</w:t>
      </w:r>
    </w:p>
    <w:p>
      <w:pPr>
        <w:pStyle w:val="P68B1DB1-Heading214"/>
        <w:spacing w:before="255"/>
        <w:ind w:left="477"/>
      </w:pPr>
      <w:r>
        <w:t>重新校准</w:t>
      </w:r>
    </w:p>
    <w:p>
      <w:pPr>
        <w:pStyle w:val="BodyText"/>
        <w:spacing w:line="249" w:lineRule="auto" w:before="107"/>
        <w:ind w:left="477"/>
      </w:pPr>
      <w:r>
        <w:rPr>
          <w:spacing w:val="-2"/>
        </w:rPr>
        <w:t>MadgeTech</w:t>
      </w:r>
      <w:r>
        <w:rPr>
          <w:spacing w:val="-2"/>
        </w:rPr>
        <w:t>建议</w:t>
      </w:r>
      <w:r>
        <w:rPr>
          <w:spacing w:val="-2"/>
        </w:rPr>
        <w:t>每年</w:t>
      </w:r>
      <w:r>
        <w:rPr>
          <w:spacing w:val="-2"/>
        </w:rPr>
        <w:t>重新校准。</w:t>
      </w:r>
      <w:r>
        <w:rPr>
          <w:spacing w:val="-2"/>
        </w:rPr>
        <w:t>要</w:t>
      </w:r>
      <w:r>
        <w:rPr>
          <w:spacing w:val="-2"/>
        </w:rPr>
        <w:t>将</w:t>
      </w:r>
      <w:r>
        <w:t>设备送回进行校准，请访问</w:t>
      </w:r>
      <w:hyperlink r:id="rId5">
        <w:r>
          <w:rPr>
            <w:rFonts w:ascii="Trebuchet MS"/>
            <w:b/>
            <w:color w:val="A93F53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80"/>
          <w:cols w:num="2" w:equalWidth="0">
            <w:col w:w="5828" w:space="40"/>
            <w:col w:w="5792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50" name="图形50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51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5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530974</wp:posOffset>
                </wp:positionH>
                <wp:positionV relativeFrom="paragraph">
                  <wp:posOffset>41592</wp:posOffset>
                </wp:positionV>
                <wp:extent cx="362585" cy="558165"/>
                <wp:effectExtent l="0" t="0" r="0" b="0"/>
                <wp:wrapNone/>
                <wp:docPr id="52" name="图形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图形52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</w:t>
      </w:r>
    </w:p>
    <w:p>
      <w:pPr>
        <w:pStyle w:val="ListParagraph"/>
        <w:numPr>
          <w:ilvl w:val="1"/>
          <w:numId w:val="5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rFonts w:ascii="Trebuchet MS" w:hAnsi="Trebuchet MS"/>
          <w:b/>
          <w:color w:val="A93F53"/>
          <w:spacing w:val="-2"/>
        </w:rPr>
        <w:t>的</w:t>
      </w:r>
      <w:r>
        <w:rPr>
          <w:spacing w:val="-2"/>
        </w:rPr>
        <w:t>在线资源库</w:t>
      </w:r>
      <w:hyperlink r:id="rId20">
        <w:r>
          <w:rPr>
            <w:rFonts w:ascii="Trebuchet MS" w:hAnsi="Trebuchet MS"/>
            <w:b/>
            <w:color w:val="A93F53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482688</wp:posOffset>
                </wp:positionH>
                <wp:positionV relativeFrom="paragraph">
                  <wp:posOffset>68107</wp:posOffset>
                </wp:positionV>
                <wp:extent cx="459105" cy="558165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4" name="图表54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图形57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软件</w:t>
      </w:r>
      <w:r>
        <w:rPr>
          <w:color w:val="A93F53"/>
          <w:spacing w:val="-2"/>
          <w:w w:val="105"/>
        </w:rPr>
        <w:t>支持</w:t>
      </w:r>
    </w:p>
    <w:p>
      <w:pPr>
        <w:pStyle w:val="ListParagraph"/>
        <w:numPr>
          <w:ilvl w:val="1"/>
          <w:numId w:val="5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rFonts w:ascii="Trebuchet MS" w:hAnsi="Trebuchet MS"/>
            <w:b/>
            <w:color w:val="A93F53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5064074</wp:posOffset>
                </wp:positionH>
                <wp:positionV relativeFrom="paragraph">
                  <wp:posOffset>173825</wp:posOffset>
                </wp:positionV>
                <wp:extent cx="2251710" cy="430530"/>
                <wp:effectExtent l="0" t="0" r="0" b="0"/>
                <wp:wrapTopAndBottom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60" name="图形60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图像61">
                            <a:hlinkClick r:id="rId5"/>
                          </pic:cNvPr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图形62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图像63">
                            <a:hlinkClick r:id="rId5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图像65">
                            <a:hlinkClick r:id="rId5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图像66">
                            <a:hlinkClick r:id="rId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图形67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47"/>
        <w:rPr>
          <w:sz w:val="24"/>
        </w:rPr>
      </w:pPr>
    </w:p>
    <w:p>
      <w:pPr>
        <w:spacing w:before="0"/>
        <w:ind w:left="607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5815723</wp:posOffset>
            </wp:positionH>
            <wp:positionV relativeFrom="paragraph">
              <wp:posOffset>-409415</wp:posOffset>
            </wp:positionV>
            <wp:extent cx="166868" cy="65341"/>
            <wp:effectExtent l="0" t="0" r="0" b="0"/>
            <wp:wrapNone/>
            <wp:docPr id="70" name="图像70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图像70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6418872</wp:posOffset>
            </wp:positionH>
            <wp:positionV relativeFrom="paragraph">
              <wp:posOffset>-409415</wp:posOffset>
            </wp:positionV>
            <wp:extent cx="296269" cy="65341"/>
            <wp:effectExtent l="0" t="0" r="0" b="0"/>
            <wp:wrapNone/>
            <wp:docPr id="71" name="图像7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图像71">
                      <a:hlinkClick r:id="rId5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8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9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460" w:bottom="280" w:left="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7" name="文本框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文本框47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17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TCTemp1000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5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873125" cy="233045"/>
              <wp:effectExtent l="0" t="0" r="0" b="0"/>
              <wp:wrapNone/>
              <wp:docPr id="48" name="文本框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文本框48"/>
                    <wps:cNvSpPr txBox="1"/>
                    <wps:spPr>
                      <a:xfrm>
                        <a:off x="0" y="0"/>
                        <a:ext cx="87312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TCTemp1000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47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9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27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8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6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6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3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6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7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rebuchet MS" w:hAnsi="Trebuchet MS" w:cs="Trebuchet MS" w:eastAsia="Trebuchet MS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989" w:hanging="27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A93F53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93F53"/>
      <w:sz w:val="24"/>
    </w:rPr>
  </w:style>
  <w:style w:type="paragraph" w:styleId="P68B1DB1-Normal6">
    <w:name w:val="P68B1DB1-Normal6"/>
    <w:basedOn w:val="Normal"/>
    <w:rPr>
      <w:color w:val="FFFFFF"/>
      <w:spacing w:val="-2"/>
      <w:w w:val="105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BodyText8">
    <w:name w:val="P68B1DB1-BodyText8"/>
    <w:basedOn w:val="BodyText"/>
    <w:rPr>
      <w:sz w:val="2"/>
    </w:rPr>
  </w:style>
  <w:style w:type="paragraph" w:styleId="P68B1DB1-Heading19">
    <w:name w:val="P68B1DB1-Heading19"/>
    <w:basedOn w:val="Heading1"/>
    <w:rPr>
      <w:color w:val="A93F53"/>
      <w:w w:val="105"/>
    </w:rPr>
  </w:style>
  <w:style w:type="paragraph" w:styleId="P68B1DB1-Heading210">
    <w:name w:val="P68B1DB1-Heading210"/>
    <w:basedOn w:val="Heading2"/>
    <w:rPr>
      <w:color w:val="A93F53"/>
    </w:rPr>
  </w:style>
  <w:style w:type="paragraph" w:styleId="P68B1DB1-Normal11">
    <w:name w:val="P68B1DB1-Normal11"/>
    <w:basedOn w:val="Normal"/>
    <w:rPr>
      <w:i/>
      <w:sz w:val="18"/>
    </w:rPr>
  </w:style>
  <w:style w:type="paragraph" w:styleId="P68B1DB1-Heading112">
    <w:name w:val="P68B1DB1-Heading112"/>
    <w:basedOn w:val="Heading1"/>
    <w:rPr>
      <w:color w:val="A93F53"/>
    </w:rPr>
  </w:style>
  <w:style w:type="paragraph" w:styleId="P68B1DB1-BodyText13">
    <w:name w:val="P68B1DB1-BodyText13"/>
    <w:basedOn w:val="BodyText"/>
    <w:rPr>
      <w:color w:val="A93F53"/>
    </w:rPr>
  </w:style>
  <w:style w:type="paragraph" w:styleId="P68B1DB1-Heading214">
    <w:name w:val="P68B1DB1-Heading214"/>
    <w:basedOn w:val="Heading2"/>
    <w:rPr>
      <w:color w:val="A93F53"/>
      <w:spacing w:val="-2"/>
    </w:rPr>
  </w:style>
  <w:style w:type="paragraph" w:styleId="P68B1DB1-Normal15">
    <w:name w:val="P68B1DB1-Normal15"/>
    <w:basedOn w:val="Normal"/>
    <w:rPr>
      <w:color w:val="FFFFFF"/>
      <w:sz w:val="48"/>
    </w:rPr>
  </w:style>
  <w:style w:type="paragraph" w:styleId="P68B1DB1-Normal16">
    <w:name w:val="P68B1DB1-Normal16"/>
    <w:basedOn w:val="Normal"/>
    <w:rPr>
      <w:color w:val="A93F53"/>
      <w:spacing w:val="-2"/>
      <w:w w:val="105"/>
      <w:sz w:val="24"/>
    </w:rPr>
  </w:style>
  <w:style w:type="paragraph" w:styleId="P68B1DB1-Normal17">
    <w:name w:val="P68B1DB1-Normal17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madgetech.com/resources" TargetMode="External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hyperlink" Target="mailto:sales@eofirm.com" TargetMode="External"/><Relationship Id="rId29" Type="http://schemas.openxmlformats.org/officeDocument/2006/relationships/hyperlink" Target="http://www.eofirm.com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2024-11-11T08:37:44Z</dcterms:created>
  <dcterms:modified xsi:type="dcterms:W3CDTF">2024-11-11T08:37:44Z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15.0</vt:lpwstr>
  </property>
</Properties>
</file>